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3GPP TSG-RAN WG4 Meeting # 106                             R4-2301199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Athens, Greece, 27th February - 3rd March 2023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Title: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Reply LS on configuring margin for 1 Rx RedCap UEs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bookmarkStart w:id="0" w:name="OLE_LINK57"/>
      <w:bookmarkStart w:id="1" w:name="OLE_LINK58"/>
      <w:r>
        <w:rPr>
          <w:rFonts w:hint="eastAsia" w:ascii="Arial" w:hAnsi="Arial" w:cs="Arial"/>
          <w:b/>
          <w:sz w:val="24"/>
          <w:szCs w:val="24"/>
          <w:lang w:val="en-GB" w:eastAsia="en-GB"/>
        </w:rPr>
        <w:t>Response to: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</w:rPr>
        <w:t>R2-2213069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/R4-2300016</w:t>
      </w:r>
    </w:p>
    <w:bookmarkEnd w:id="0"/>
    <w:bookmarkEnd w:id="1"/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bookmarkStart w:id="2" w:name="OLE_LINK61"/>
      <w:bookmarkStart w:id="3" w:name="OLE_LINK59"/>
      <w:bookmarkStart w:id="4" w:name="OLE_LINK60"/>
      <w:r>
        <w:rPr>
          <w:rFonts w:hint="eastAsia" w:ascii="Arial" w:hAnsi="Arial" w:cs="Arial"/>
          <w:b/>
          <w:sz w:val="24"/>
          <w:szCs w:val="24"/>
          <w:lang w:val="en-GB" w:eastAsia="en-GB"/>
        </w:rPr>
        <w:t>Release: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Rel-17</w:t>
      </w:r>
      <w:bookmarkStart w:id="9" w:name="_GoBack"/>
      <w:bookmarkEnd w:id="9"/>
    </w:p>
    <w:bookmarkEnd w:id="2"/>
    <w:bookmarkEnd w:id="3"/>
    <w:bookmarkEnd w:id="4"/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Work Item: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NR_redcap-Core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Source: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RAN4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To: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RAN2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bookmarkStart w:id="5" w:name="OLE_LINK46"/>
      <w:bookmarkStart w:id="6" w:name="OLE_LINK45"/>
      <w:r>
        <w:rPr>
          <w:rFonts w:hint="eastAsia" w:ascii="Arial" w:hAnsi="Arial" w:cs="Arial"/>
          <w:b/>
          <w:sz w:val="24"/>
          <w:szCs w:val="24"/>
          <w:lang w:val="en-GB" w:eastAsia="en-GB"/>
        </w:rPr>
        <w:t>Cc: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</w:p>
    <w:bookmarkEnd w:id="5"/>
    <w:bookmarkEnd w:id="6"/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en-GB"/>
        </w:rPr>
        <w:t>Contact person:</w:t>
      </w:r>
      <w:r>
        <w:rPr>
          <w:rFonts w:hint="eastAsia" w:ascii="Arial" w:hAnsi="Arial" w:cs="Arial"/>
          <w:b/>
          <w:sz w:val="24"/>
          <w:szCs w:val="24"/>
          <w:lang w:val="en-US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Wu Yan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wu.yan7</w:t>
      </w:r>
      <w:r>
        <w:rPr>
          <w:rFonts w:hint="eastAsia" w:ascii="Arial" w:hAnsi="Arial" w:cs="Arial"/>
          <w:b/>
          <w:sz w:val="24"/>
          <w:szCs w:val="24"/>
          <w:lang w:val="en-US" w:eastAsia="en-GB"/>
        </w:rPr>
        <w:t>@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zte</w:t>
      </w:r>
      <w:r>
        <w:rPr>
          <w:rFonts w:hint="eastAsia" w:ascii="Arial" w:hAnsi="Arial" w:cs="Arial"/>
          <w:b/>
          <w:sz w:val="24"/>
          <w:szCs w:val="24"/>
          <w:lang w:val="en-US" w:eastAsia="en-GB"/>
        </w:rPr>
        <w:t>.com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.cn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 xml:space="preserve">Send any reply LS to:    3GPP Liaisons Coordinator, </w:t>
      </w:r>
      <w:r>
        <w:rPr>
          <w:rFonts w:hint="eastAsia" w:ascii="Arial" w:hAnsi="Arial" w:cs="Arial"/>
          <w:b/>
          <w:sz w:val="24"/>
          <w:szCs w:val="24"/>
        </w:rPr>
        <w:fldChar w:fldCharType="begin"/>
      </w:r>
      <w:r>
        <w:rPr>
          <w:rFonts w:hint="eastAsia" w:ascii="Arial" w:hAnsi="Arial" w:cs="Arial"/>
          <w:b/>
          <w:sz w:val="24"/>
          <w:szCs w:val="24"/>
        </w:rPr>
        <w:instrText xml:space="preserve"> HYPERLINK "mailto:3GPPLiaison@etsi.org" </w:instrText>
      </w:r>
      <w:r>
        <w:rPr>
          <w:rFonts w:hint="eastAsia" w:ascii="Arial" w:hAnsi="Arial" w:cs="Arial"/>
          <w:b/>
          <w:sz w:val="24"/>
          <w:szCs w:val="24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mailto:3GPPLiaison@etsi.org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fldChar w:fldCharType="end"/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Attachments: None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rPr>
          <w:lang w:val="en-GB" w:eastAsia="en-GB"/>
        </w:rPr>
        <w:t>Overall description</w:t>
      </w:r>
    </w:p>
    <w:p>
      <w:pPr>
        <w:autoSpaceDE/>
        <w:autoSpaceDN/>
        <w:adjustRightInd/>
        <w:snapToGrid/>
        <w:spacing w:after="0"/>
        <w:rPr>
          <w:rFonts w:ascii="Times New Roman" w:hAnsi="Times New Roman" w:cs="Times New Roman"/>
          <w:sz w:val="21"/>
          <w:szCs w:val="21"/>
          <w:highlight w:val="yellow"/>
          <w:lang w:val="en-GB"/>
        </w:rPr>
      </w:pPr>
      <w:r>
        <w:rPr>
          <w:rFonts w:ascii="Times New Roman" w:hAnsi="Times New Roman" w:cs="Times New Roman"/>
          <w:sz w:val="21"/>
          <w:szCs w:val="21"/>
          <w:highlight w:val="yellow"/>
          <w:lang w:val="en-GB"/>
        </w:rPr>
        <w:t>For the list of cell-specific RSRP thresholds provided by RAN4, RAN2’s understanding is that the offset shall not apply to delta thresholds, i.e.</w:t>
      </w:r>
      <w:r>
        <w:rPr>
          <w:rFonts w:ascii="Times New Roman" w:hAnsi="Times New Roman" w:cs="Times New Roman"/>
          <w:i/>
          <w:sz w:val="21"/>
          <w:szCs w:val="21"/>
          <w:highlight w:val="yellow"/>
          <w:lang w:val="en-GB"/>
        </w:rPr>
        <w:t xml:space="preserve"> s-SearchDeltaP-r16</w:t>
      </w:r>
      <w:r>
        <w:rPr>
          <w:rFonts w:ascii="Times New Roman" w:hAnsi="Times New Roman" w:cs="Times New Roman"/>
          <w:sz w:val="21"/>
          <w:szCs w:val="21"/>
          <w:highlight w:val="yellow"/>
          <w:lang w:val="en-GB"/>
        </w:rPr>
        <w:t xml:space="preserve"> and </w:t>
      </w:r>
      <w:r>
        <w:rPr>
          <w:rFonts w:ascii="Times New Roman" w:hAnsi="Times New Roman" w:cs="Times New Roman"/>
          <w:i/>
          <w:sz w:val="21"/>
          <w:szCs w:val="21"/>
          <w:highlight w:val="yellow"/>
          <w:lang w:val="en-GB"/>
        </w:rPr>
        <w:t>s-SearchDeltaP-Stationary-r17</w:t>
      </w:r>
      <w:r>
        <w:rPr>
          <w:rFonts w:ascii="Times New Roman" w:hAnsi="Times New Roman" w:cs="Times New Roman"/>
          <w:sz w:val="21"/>
          <w:szCs w:val="21"/>
          <w:highlight w:val="yellow"/>
          <w:lang w:val="en-GB"/>
        </w:rPr>
        <w:t>.</w:t>
      </w:r>
    </w:p>
    <w:p>
      <w:pPr>
        <w:autoSpaceDE/>
        <w:autoSpaceDN/>
        <w:adjustRightInd/>
        <w:snapToGrid/>
        <w:spacing w:after="0"/>
        <w:rPr>
          <w:rFonts w:ascii="Times New Roman" w:hAnsi="Times New Roman" w:cs="Times New Roman"/>
          <w:sz w:val="21"/>
          <w:szCs w:val="21"/>
          <w:highlight w:val="yellow"/>
          <w:lang w:val="en-GB"/>
        </w:rPr>
      </w:pPr>
    </w:p>
    <w:p>
      <w:pPr>
        <w:autoSpaceDE/>
        <w:autoSpaceDN/>
        <w:adjustRightInd/>
        <w:snapToGrid/>
        <w:spacing w:after="0"/>
        <w:rPr>
          <w:rFonts w:ascii="Times New Roman" w:hAnsi="Times New Roman" w:cs="Times New Roman"/>
          <w:sz w:val="21"/>
          <w:szCs w:val="21"/>
          <w:highlight w:val="yellow"/>
          <w:lang w:val="en-GB"/>
        </w:rPr>
      </w:pPr>
      <w:r>
        <w:rPr>
          <w:rFonts w:ascii="Times New Roman" w:hAnsi="Times New Roman" w:cs="Times New Roman"/>
          <w:sz w:val="21"/>
          <w:szCs w:val="21"/>
          <w:highlight w:val="yellow"/>
          <w:lang w:val="en-GB"/>
        </w:rPr>
        <w:t xml:space="preserve">For Rel-16/Rel-17 not-at-cell-edge criterion evaluation, RAN2 understands that the offset should not apply to both cell selection thresholds (i.e. </w:t>
      </w:r>
      <w:r>
        <w:rPr>
          <w:rFonts w:ascii="Times New Roman" w:hAnsi="Times New Roman" w:cs="Times New Roman"/>
          <w:i/>
          <w:sz w:val="21"/>
          <w:szCs w:val="21"/>
          <w:highlight w:val="yellow"/>
          <w:lang w:val="en-GB"/>
        </w:rPr>
        <w:t>Qrxlevmin</w:t>
      </w:r>
      <w:r>
        <w:rPr>
          <w:rFonts w:ascii="Times New Roman" w:hAnsi="Times New Roman" w:cs="Times New Roman"/>
          <w:sz w:val="21"/>
          <w:szCs w:val="21"/>
          <w:highlight w:val="yellow"/>
          <w:lang w:val="en-GB"/>
        </w:rPr>
        <w:t xml:space="preserve"> and </w:t>
      </w:r>
      <w:r>
        <w:rPr>
          <w:rFonts w:ascii="Times New Roman" w:hAnsi="Times New Roman" w:cs="Times New Roman"/>
          <w:i/>
          <w:sz w:val="21"/>
          <w:szCs w:val="21"/>
          <w:highlight w:val="yellow"/>
          <w:lang w:val="en-GB"/>
        </w:rPr>
        <w:t>Qqualmin</w:t>
      </w:r>
      <w:r>
        <w:rPr>
          <w:rFonts w:ascii="Times New Roman" w:hAnsi="Times New Roman" w:cs="Times New Roman"/>
          <w:sz w:val="21"/>
          <w:szCs w:val="21"/>
          <w:highlight w:val="yellow"/>
          <w:lang w:val="en-GB"/>
        </w:rPr>
        <w:t xml:space="preserve">) and not-at-cell-edge thresholds (i.e. </w:t>
      </w:r>
      <w:r>
        <w:rPr>
          <w:rFonts w:ascii="Times New Roman" w:hAnsi="Times New Roman" w:cs="Times New Roman"/>
          <w:i/>
          <w:sz w:val="21"/>
          <w:szCs w:val="21"/>
          <w:highlight w:val="yellow"/>
          <w:lang w:val="en-GB"/>
        </w:rPr>
        <w:t>s-SearchThresholdP-r16</w:t>
      </w:r>
      <w:r>
        <w:rPr>
          <w:rFonts w:ascii="Times New Roman" w:hAnsi="Times New Roman" w:cs="Times New Roman"/>
          <w:sz w:val="21"/>
          <w:szCs w:val="21"/>
          <w:highlight w:val="yellow"/>
          <w:lang w:val="en-GB"/>
        </w:rPr>
        <w:t xml:space="preserve">, </w:t>
      </w:r>
      <w:r>
        <w:rPr>
          <w:rFonts w:ascii="Times New Roman" w:hAnsi="Times New Roman" w:cs="Times New Roman"/>
          <w:i/>
          <w:sz w:val="21"/>
          <w:szCs w:val="21"/>
          <w:highlight w:val="yellow"/>
          <w:lang w:val="en-GB"/>
        </w:rPr>
        <w:t>s-SearchThresholdQ-r16</w:t>
      </w:r>
      <w:r>
        <w:rPr>
          <w:rFonts w:ascii="Times New Roman" w:hAnsi="Times New Roman" w:cs="Times New Roman"/>
          <w:sz w:val="21"/>
          <w:szCs w:val="21"/>
          <w:highlight w:val="yellow"/>
          <w:lang w:val="en-GB"/>
        </w:rPr>
        <w:t>,</w:t>
      </w:r>
      <w:r>
        <w:rPr>
          <w:rFonts w:hint="default" w:ascii="Times New Roman" w:hAnsi="Times New Roman" w:cs="Times New Roman"/>
          <w:sz w:val="21"/>
          <w:szCs w:val="21"/>
          <w:highlight w:val="yellow"/>
          <w:lang w:val="en-GB" w:eastAsia="zh-CN"/>
        </w:rPr>
        <w:t xml:space="preserve"> </w:t>
      </w:r>
      <w:r>
        <w:rPr>
          <w:rFonts w:ascii="Times New Roman" w:hAnsi="Times New Roman" w:cs="Times New Roman"/>
          <w:i/>
          <w:sz w:val="21"/>
          <w:szCs w:val="21"/>
          <w:highlight w:val="yellow"/>
          <w:lang w:val="en-GB"/>
        </w:rPr>
        <w:t>s-SearchThresholdP2-r17</w:t>
      </w:r>
      <w:r>
        <w:rPr>
          <w:rFonts w:ascii="Times New Roman" w:hAnsi="Times New Roman" w:cs="Times New Roman"/>
          <w:sz w:val="21"/>
          <w:szCs w:val="21"/>
          <w:highlight w:val="yellow"/>
          <w:lang w:val="en-GB"/>
        </w:rPr>
        <w:t xml:space="preserve"> and </w:t>
      </w:r>
      <w:r>
        <w:rPr>
          <w:rFonts w:ascii="Times New Roman" w:hAnsi="Times New Roman" w:cs="Times New Roman"/>
          <w:i/>
          <w:sz w:val="21"/>
          <w:szCs w:val="21"/>
          <w:highlight w:val="yellow"/>
          <w:lang w:val="en-GB"/>
        </w:rPr>
        <w:t>s-SearchThresholdQ2-r17</w:t>
      </w:r>
      <w:r>
        <w:rPr>
          <w:rFonts w:ascii="Times New Roman" w:hAnsi="Times New Roman" w:cs="Times New Roman"/>
          <w:sz w:val="21"/>
          <w:szCs w:val="21"/>
          <w:highlight w:val="yellow"/>
          <w:lang w:val="en-GB"/>
        </w:rPr>
        <w:t xml:space="preserve">) and RAN2 will update specifications to avoid the double offset. </w:t>
      </w:r>
    </w:p>
    <w:p>
      <w:pPr>
        <w:autoSpaceDE/>
        <w:autoSpaceDN/>
        <w:adjustRightInd/>
        <w:snapToGrid/>
        <w:spacing w:after="0"/>
        <w:rPr>
          <w:rFonts w:ascii="Times New Roman" w:hAnsi="Times New Roman" w:cs="Times New Roman"/>
          <w:sz w:val="21"/>
          <w:szCs w:val="21"/>
          <w:highlight w:val="yellow"/>
          <w:lang w:val="en-GB"/>
        </w:rPr>
      </w:pPr>
    </w:p>
    <w:p>
      <w:pPr>
        <w:autoSpaceDE/>
        <w:autoSpaceDN/>
        <w:adjustRightInd/>
        <w:snapToGrid/>
        <w:spacing w:after="0"/>
        <w:rPr>
          <w:rFonts w:ascii="Times New Roman" w:hAnsi="Times New Roman" w:cs="Times New Roman"/>
          <w:sz w:val="21"/>
          <w:szCs w:val="21"/>
          <w:highlight w:val="yellow"/>
          <w:lang w:val="en-GB"/>
        </w:rPr>
      </w:pPr>
      <w:r>
        <w:rPr>
          <w:rFonts w:hint="default" w:ascii="Times New Roman" w:hAnsi="Times New Roman" w:cs="Times New Roman"/>
          <w:sz w:val="21"/>
          <w:szCs w:val="21"/>
          <w:highlight w:val="yellow"/>
          <w:lang w:val="en-GB"/>
        </w:rPr>
        <w:t>R</w:t>
      </w:r>
      <w:r>
        <w:rPr>
          <w:rFonts w:ascii="Times New Roman" w:hAnsi="Times New Roman" w:cs="Times New Roman"/>
          <w:sz w:val="21"/>
          <w:szCs w:val="21"/>
          <w:highlight w:val="yellow"/>
          <w:lang w:val="en-GB"/>
        </w:rPr>
        <w:t>AN2 would also like to inform RAN4 that the following cell-specific RSRP thresholds should be included in the list to apply the offset.</w:t>
      </w:r>
    </w:p>
    <w:p>
      <w:pPr>
        <w:pStyle w:val="91"/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 w:cs="Times New Roman"/>
          <w:i/>
          <w:iCs/>
          <w:sz w:val="21"/>
          <w:szCs w:val="21"/>
          <w:highlight w:val="yellow"/>
          <w:lang w:val="en-GB" w:eastAsia="en-GB"/>
        </w:rPr>
      </w:pPr>
      <w:r>
        <w:rPr>
          <w:rFonts w:ascii="Times New Roman" w:hAnsi="Times New Roman" w:cs="Times New Roman"/>
          <w:i/>
          <w:iCs/>
          <w:sz w:val="21"/>
          <w:szCs w:val="21"/>
          <w:highlight w:val="yellow"/>
          <w:lang w:val="en-GB" w:eastAsia="en-GB"/>
        </w:rPr>
        <w:t>rsrp-ThresholdSSB-SUL</w:t>
      </w:r>
    </w:p>
    <w:p>
      <w:pPr>
        <w:pStyle w:val="91"/>
        <w:numPr>
          <w:ilvl w:val="2"/>
          <w:numId w:val="2"/>
        </w:numPr>
        <w:spacing w:after="120"/>
        <w:ind w:left="1797" w:hanging="357"/>
        <w:rPr>
          <w:rFonts w:ascii="Times New Roman" w:hAnsi="Times New Roman" w:cs="Times New Roman"/>
          <w:sz w:val="21"/>
          <w:szCs w:val="21"/>
          <w:lang w:val="en-GB" w:eastAsia="en-GB"/>
        </w:rPr>
      </w:pPr>
      <w:r>
        <w:rPr>
          <w:rFonts w:ascii="Times New Roman" w:hAnsi="Times New Roman" w:cs="Times New Roman"/>
          <w:i/>
          <w:iCs/>
          <w:sz w:val="21"/>
          <w:szCs w:val="21"/>
          <w:highlight w:val="yellow"/>
          <w:lang w:val="en-GB" w:eastAsia="en-GB"/>
        </w:rPr>
        <w:t>rsrp-ThresholdMsg3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GB" w:eastAsia="en-GB"/>
        </w:rPr>
        <w:t xml:space="preserve">RAN4 would like to thank RAN2 for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their</w:t>
      </w:r>
      <w:r>
        <w:rPr>
          <w:rFonts w:hint="default" w:ascii="Times New Roman" w:hAnsi="Times New Roman" w:cs="Times New Roman"/>
          <w:sz w:val="21"/>
          <w:szCs w:val="21"/>
          <w:lang w:val="en-GB" w:eastAsia="en-GB"/>
        </w:rPr>
        <w:t xml:space="preserve"> reply LS on configuring margin for one Rx RedCap UE in R2-2213069/R4-2214484.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It should be noted that RAN4 has discussed the value of cell-specific RSRP offset at the 104bis-e meeting and reached following consensus in the WF. The specific information is copied below:</w:t>
      </w:r>
    </w:p>
    <w:p>
      <w:pPr>
        <w:rPr>
          <w:b/>
          <w:color w:val="000000" w:themeColor="text1"/>
          <w:u w:val="single"/>
          <w:lang w:val="en-US"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u w:val="single"/>
          <w:lang w:val="en-US" w:eastAsia="ko-KR"/>
          <w14:textFill>
            <w14:solidFill>
              <w14:schemeClr w14:val="tx1"/>
            </w14:solidFill>
          </w14:textFill>
        </w:rPr>
        <w:t>Cell-specific RSRP thresholds and their values:</w:t>
      </w:r>
    </w:p>
    <w:p>
      <w:pPr>
        <w:spacing w:after="0" w:line="240" w:lineRule="auto"/>
        <w:ind w:left="420"/>
        <w:rPr>
          <w:rFonts w:eastAsia="宋体"/>
          <w:color w:val="000000" w:themeColor="text1"/>
          <w:highlight w:val="green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21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5"/>
        <w:gridCol w:w="3114"/>
        <w:gridCol w:w="15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Calibri" w:hAnsi="Calibri" w:eastAsia="等线" w:cs="Calibri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等线" w:cs="Calibri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No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Calibri" w:hAnsi="Calibri" w:eastAsia="等线" w:cs="Calibri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等线" w:cs="Calibri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Type of threshold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Calibri" w:hAnsi="Calibri" w:eastAsia="等线" w:cs="Calibri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等线" w:cs="Calibri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Threshold [dB]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rsrp-ThresholdSSB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+ 1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msgA-RSRP-ThresholdSSB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+ 1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msgA-RSRP-Threshold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+ 1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absThreshSS-BlocksConsolidation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+ 1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sdt-RSRP-Threshold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+ 1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s-SearchDeltaP-r16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eastAsia="等线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i/>
                <w:i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s-SearchDeltaP-Stationary-r17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eastAsia="等线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i/>
                <w:i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s-SearchThresholdP-r16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+ 1 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s-SearchThresholdQ-r16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+ 1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s-SearchThresholdP2-r17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+ 1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s-SearchThresholdQ2-r17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+ 1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ind w:left="0"/>
              <w:contextualSpacing w:val="0"/>
              <w:rPr>
                <w:rFonts w:eastAsia="宋体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Qrxlevmin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and</w:t>
            </w: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Qqualmin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sv-SE"/>
                <w14:textFill>
                  <w14:solidFill>
                    <w14:schemeClr w14:val="tx1"/>
                  </w14:solidFill>
                </w14:textFill>
              </w:rPr>
              <w:t xml:space="preserve">- 1 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default" w:eastAsia="宋体"/>
          <w:sz w:val="21"/>
          <w:szCs w:val="21"/>
          <w:lang w:val="en-US" w:eastAsia="zh-CN"/>
        </w:rPr>
        <w:t>According to the reply from RAN2, RAN4 needs to discuss the addition and deletion of the cell-specific RSRP threshold used in the RRC IDLE/INACTIVE state, and consider the value of the new parameters, including:</w:t>
      </w:r>
    </w:p>
    <w:tbl>
      <w:tblPr>
        <w:tblStyle w:val="21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45"/>
        <w:gridCol w:w="1526"/>
        <w:gridCol w:w="108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Calibri" w:hAnsi="Calibri" w:eastAsia="等线" w:cs="Calibri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等线" w:cs="Calibri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Type of threshold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Calibri" w:hAnsi="Calibri" w:eastAsia="等线" w:cs="Calibri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等线" w:cs="Calibri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Threshold [dB]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Calibri" w:hAnsi="Calibri" w:eastAsia="等线" w:cs="Calibri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等线" w:cs="Calibri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operation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s-SearchDeltaP-r16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eastAsia="等线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delete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i/>
                <w:i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s-SearchDeltaP-Stationary-r17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eastAsia="等线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delete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i/>
                <w:i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 w:val="0"/>
                <w:i/>
                <w:iCs/>
                <w:sz w:val="21"/>
                <w:szCs w:val="21"/>
                <w:lang w:val="en-GB" w:eastAsia="en-GB"/>
              </w:rPr>
              <w:t>rsrp-ThresholdSSB-SUL</w:t>
            </w:r>
            <w:r>
              <w:rPr>
                <w:rFonts w:hint="eastAsia" w:cs="Arial"/>
                <w:b w:val="0"/>
                <w:bCs w:val="0"/>
                <w:i/>
                <w:iCs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等线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+ 1</w:t>
            </w:r>
            <w:r>
              <w:rPr>
                <w:rFonts w:hint="eastAsia" w:eastAsia="等线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]</w:t>
            </w: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hint="default" w:eastAsia="等线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等线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 w:val="0"/>
                <w:i/>
                <w:iCs/>
                <w:sz w:val="21"/>
                <w:szCs w:val="21"/>
                <w:lang w:val="en-GB" w:eastAsia="en-GB"/>
              </w:rPr>
              <w:t>rsrp-ThresholdMsg3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hint="eastAsia" w:eastAsia="等线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等线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eastAsia="等线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+ 1</w:t>
            </w:r>
            <w:r>
              <w:rPr>
                <w:rFonts w:hint="eastAsia" w:eastAsia="等线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hint="default" w:eastAsia="等线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等线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宋体"/>
          <w:sz w:val="21"/>
          <w:szCs w:val="21"/>
          <w:lang w:val="en-US" w:eastAsia="zh-CN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>
        <w:rPr>
          <w:rFonts w:ascii="Arial" w:hAnsi="Arial"/>
          <w:sz w:val="36"/>
          <w:szCs w:val="20"/>
          <w:lang w:val="en-GB" w:eastAsia="en-GB"/>
        </w:rPr>
        <w:t>2</w:t>
      </w:r>
      <w:r>
        <w:rPr>
          <w:rFonts w:ascii="Arial" w:hAnsi="Arial"/>
          <w:sz w:val="36"/>
          <w:szCs w:val="20"/>
          <w:lang w:val="en-GB" w:eastAsia="en-GB"/>
        </w:rPr>
        <w:tab/>
      </w:r>
      <w:r>
        <w:rPr>
          <w:rFonts w:ascii="Arial" w:hAnsi="Arial"/>
          <w:sz w:val="36"/>
          <w:szCs w:val="20"/>
          <w:lang w:val="en-GB" w:eastAsia="en-GB"/>
        </w:rPr>
        <w:t>Actions</w:t>
      </w:r>
    </w:p>
    <w:p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>
        <w:rPr>
          <w:rFonts w:ascii="Arial" w:hAnsi="Arial" w:cs="Arial"/>
          <w:b/>
          <w:sz w:val="20"/>
          <w:szCs w:val="20"/>
          <w:lang w:val="en-GB" w:eastAsia="en-GB"/>
        </w:rPr>
        <w:t xml:space="preserve">To RAN2 </w:t>
      </w:r>
    </w:p>
    <w:p>
      <w:pPr>
        <w:spacing w:after="120"/>
        <w:ind w:left="993" w:hanging="993"/>
        <w:rPr>
          <w:rFonts w:ascii="Arial" w:hAnsi="Arial" w:cs="Arial"/>
          <w:color w:val="0070C0"/>
          <w:sz w:val="20"/>
          <w:szCs w:val="20"/>
          <w:lang w:val="en-GB" w:eastAsia="en-GB"/>
        </w:rPr>
      </w:pPr>
      <w:r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  <w:r>
        <w:rPr>
          <w:sz w:val="21"/>
          <w:szCs w:val="21"/>
          <w:lang w:val="en-GB" w:eastAsia="en-GB"/>
        </w:rPr>
        <w:t>RAN4 would like RAN2 to take into account the above RAN4 replies/feedback in their future work on Redcap UEs.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>
        <w:rPr>
          <w:rFonts w:ascii="Arial" w:hAnsi="Arial"/>
          <w:sz w:val="36"/>
          <w:szCs w:val="36"/>
          <w:lang w:val="en-GB" w:eastAsia="en-GB"/>
        </w:rPr>
        <w:t>3</w:t>
      </w:r>
      <w:r>
        <w:rPr>
          <w:rFonts w:ascii="Arial" w:hAnsi="Arial"/>
          <w:sz w:val="36"/>
          <w:szCs w:val="36"/>
          <w:lang w:val="en-GB" w:eastAsia="en-GB"/>
        </w:rPr>
        <w:tab/>
      </w:r>
      <w:r>
        <w:rPr>
          <w:rFonts w:ascii="Arial" w:hAnsi="Arial"/>
          <w:sz w:val="36"/>
          <w:szCs w:val="36"/>
          <w:lang w:val="en-GB" w:eastAsia="en-GB"/>
        </w:rPr>
        <w:t xml:space="preserve">Dates of next </w:t>
      </w:r>
      <w:r>
        <w:rPr>
          <w:rFonts w:ascii="Arial" w:hAnsi="Arial" w:cs="Arial"/>
          <w:bCs/>
          <w:sz w:val="36"/>
          <w:szCs w:val="36"/>
          <w:lang w:val="en-GB" w:eastAsia="en-GB"/>
        </w:rPr>
        <w:t xml:space="preserve">TSG-RAN WG RAN4 </w:t>
      </w:r>
      <w:r>
        <w:rPr>
          <w:rFonts w:ascii="Arial" w:hAnsi="Arial"/>
          <w:sz w:val="36"/>
          <w:szCs w:val="36"/>
          <w:lang w:val="en-GB" w:eastAsia="en-GB"/>
        </w:rPr>
        <w:t>meetings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1"/>
          <w:szCs w:val="21"/>
          <w:lang w:val="en-GB" w:eastAsia="en-GB"/>
        </w:rPr>
      </w:pPr>
      <w:bookmarkStart w:id="7" w:name="OLE_LINK54"/>
      <w:bookmarkStart w:id="8" w:name="OLE_LINK53"/>
      <w:r>
        <w:rPr>
          <w:sz w:val="21"/>
          <w:szCs w:val="21"/>
          <w:lang w:val="en-GB" w:eastAsia="en-GB"/>
        </w:rPr>
        <w:t>RAN4#10</w:t>
      </w:r>
      <w:r>
        <w:rPr>
          <w:rFonts w:hint="eastAsia" w:eastAsia="宋体"/>
          <w:sz w:val="21"/>
          <w:szCs w:val="21"/>
          <w:lang w:val="en-US" w:eastAsia="zh-CN"/>
        </w:rPr>
        <w:t>6</w:t>
      </w:r>
      <w:r>
        <w:rPr>
          <w:sz w:val="21"/>
          <w:szCs w:val="21"/>
          <w:lang w:val="en-GB" w:eastAsia="en-GB"/>
        </w:rPr>
        <w:t>bis-e</w:t>
      </w:r>
      <w:r>
        <w:rPr>
          <w:sz w:val="21"/>
          <w:szCs w:val="21"/>
          <w:lang w:val="en-GB" w:eastAsia="en-GB"/>
        </w:rPr>
        <w:tab/>
      </w:r>
      <w:r>
        <w:rPr>
          <w:sz w:val="21"/>
          <w:szCs w:val="21"/>
          <w:lang w:val="en-GB" w:eastAsia="en-GB"/>
        </w:rPr>
        <w:t>1</w:t>
      </w:r>
      <w:r>
        <w:rPr>
          <w:rFonts w:hint="eastAsia" w:eastAsia="宋体"/>
          <w:sz w:val="21"/>
          <w:szCs w:val="21"/>
          <w:lang w:val="en-US" w:eastAsia="zh-CN"/>
        </w:rPr>
        <w:t>7</w:t>
      </w:r>
      <w:r>
        <w:rPr>
          <w:sz w:val="21"/>
          <w:szCs w:val="21"/>
          <w:vertAlign w:val="superscript"/>
          <w:lang w:val="en-GB" w:eastAsia="en-GB"/>
        </w:rPr>
        <w:t>th</w:t>
      </w:r>
      <w:r>
        <w:rPr>
          <w:sz w:val="21"/>
          <w:szCs w:val="21"/>
          <w:lang w:val="en-GB" w:eastAsia="en-GB"/>
        </w:rPr>
        <w:t xml:space="preserve"> - </w:t>
      </w:r>
      <w:r>
        <w:rPr>
          <w:rFonts w:hint="eastAsia" w:eastAsia="宋体"/>
          <w:sz w:val="21"/>
          <w:szCs w:val="21"/>
          <w:lang w:val="en-US" w:eastAsia="zh-CN"/>
        </w:rPr>
        <w:t>26</w:t>
      </w:r>
      <w:r>
        <w:rPr>
          <w:sz w:val="21"/>
          <w:szCs w:val="21"/>
          <w:vertAlign w:val="superscript"/>
          <w:lang w:val="en-GB" w:eastAsia="en-GB"/>
        </w:rPr>
        <w:t>th</w:t>
      </w:r>
      <w:r>
        <w:rPr>
          <w:sz w:val="21"/>
          <w:szCs w:val="21"/>
          <w:lang w:val="en-GB" w:eastAsia="en-GB"/>
        </w:rPr>
        <w:t xml:space="preserve"> </w:t>
      </w:r>
      <w:r>
        <w:rPr>
          <w:rFonts w:hint="eastAsia" w:eastAsia="宋体"/>
          <w:sz w:val="21"/>
          <w:szCs w:val="21"/>
          <w:lang w:val="en-US" w:eastAsia="zh-CN"/>
        </w:rPr>
        <w:t>Apirl</w:t>
      </w:r>
      <w:r>
        <w:rPr>
          <w:sz w:val="21"/>
          <w:szCs w:val="21"/>
          <w:lang w:val="en-GB" w:eastAsia="en-GB"/>
        </w:rPr>
        <w:t xml:space="preserve"> 202</w:t>
      </w:r>
      <w:r>
        <w:rPr>
          <w:rFonts w:hint="eastAsia" w:eastAsia="宋体"/>
          <w:sz w:val="21"/>
          <w:szCs w:val="21"/>
          <w:lang w:val="en-US" w:eastAsia="zh-CN"/>
        </w:rPr>
        <w:t>3</w:t>
      </w:r>
      <w:r>
        <w:rPr>
          <w:sz w:val="21"/>
          <w:szCs w:val="21"/>
          <w:lang w:val="en-GB" w:eastAsia="en-GB"/>
        </w:rPr>
        <w:t>, Electronic Meeting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宋体"/>
          <w:sz w:val="21"/>
          <w:szCs w:val="21"/>
          <w:lang w:val="en-US" w:eastAsia="zh-CN"/>
        </w:rPr>
      </w:pPr>
      <w:r>
        <w:rPr>
          <w:sz w:val="21"/>
          <w:szCs w:val="21"/>
          <w:lang w:val="en-GB" w:eastAsia="en-GB"/>
        </w:rPr>
        <w:t>RAN4#10</w:t>
      </w:r>
      <w:r>
        <w:rPr>
          <w:rFonts w:hint="eastAsia" w:eastAsia="宋体"/>
          <w:sz w:val="21"/>
          <w:szCs w:val="21"/>
          <w:lang w:val="en-US" w:eastAsia="zh-CN"/>
        </w:rPr>
        <w:t>7</w:t>
      </w:r>
      <w:r>
        <w:rPr>
          <w:sz w:val="21"/>
          <w:szCs w:val="21"/>
          <w:lang w:val="en-GB" w:eastAsia="en-GB"/>
        </w:rPr>
        <w:tab/>
      </w:r>
      <w:r>
        <w:rPr>
          <w:rFonts w:hint="eastAsia" w:eastAsia="宋体"/>
          <w:sz w:val="21"/>
          <w:szCs w:val="21"/>
          <w:lang w:val="en-US" w:eastAsia="zh-CN"/>
        </w:rPr>
        <w:t>22</w:t>
      </w:r>
      <w:r>
        <w:rPr>
          <w:sz w:val="21"/>
          <w:szCs w:val="21"/>
          <w:vertAlign w:val="superscript"/>
          <w:lang w:val="en-GB" w:eastAsia="en-GB"/>
        </w:rPr>
        <w:t xml:space="preserve">th </w:t>
      </w:r>
      <w:r>
        <w:rPr>
          <w:sz w:val="21"/>
          <w:szCs w:val="21"/>
          <w:lang w:val="en-GB" w:eastAsia="en-GB"/>
        </w:rPr>
        <w:t xml:space="preserve">- </w:t>
      </w:r>
      <w:r>
        <w:rPr>
          <w:rFonts w:hint="eastAsia" w:eastAsia="宋体"/>
          <w:sz w:val="21"/>
          <w:szCs w:val="21"/>
          <w:lang w:val="en-US" w:eastAsia="zh-CN"/>
        </w:rPr>
        <w:t>26</w:t>
      </w:r>
      <w:r>
        <w:rPr>
          <w:sz w:val="21"/>
          <w:szCs w:val="21"/>
          <w:vertAlign w:val="superscript"/>
          <w:lang w:val="en-GB" w:eastAsia="en-GB"/>
        </w:rPr>
        <w:t>th</w:t>
      </w:r>
      <w:r>
        <w:rPr>
          <w:sz w:val="21"/>
          <w:szCs w:val="21"/>
          <w:lang w:val="en-GB" w:eastAsia="en-GB"/>
        </w:rPr>
        <w:t xml:space="preserve"> </w:t>
      </w:r>
      <w:r>
        <w:rPr>
          <w:rFonts w:hint="eastAsia" w:eastAsia="宋体"/>
          <w:sz w:val="21"/>
          <w:szCs w:val="21"/>
          <w:lang w:val="en-US" w:eastAsia="zh-CN"/>
        </w:rPr>
        <w:t>May</w:t>
      </w:r>
      <w:r>
        <w:rPr>
          <w:sz w:val="21"/>
          <w:szCs w:val="21"/>
          <w:lang w:val="en-GB" w:eastAsia="en-GB"/>
        </w:rPr>
        <w:t xml:space="preserve"> 202</w:t>
      </w:r>
      <w:r>
        <w:rPr>
          <w:rFonts w:hint="eastAsia" w:eastAsia="宋体"/>
          <w:sz w:val="21"/>
          <w:szCs w:val="21"/>
          <w:lang w:val="en-US" w:eastAsia="zh-CN"/>
        </w:rPr>
        <w:t>3</w:t>
      </w:r>
      <w:r>
        <w:rPr>
          <w:sz w:val="21"/>
          <w:szCs w:val="21"/>
          <w:lang w:val="en-GB" w:eastAsia="en-GB"/>
        </w:rPr>
        <w:t xml:space="preserve">, </w:t>
      </w:r>
      <w:bookmarkEnd w:id="7"/>
      <w:bookmarkEnd w:id="8"/>
      <w:r>
        <w:rPr>
          <w:rFonts w:hint="eastAsia" w:eastAsia="宋体"/>
          <w:sz w:val="21"/>
          <w:szCs w:val="21"/>
          <w:lang w:val="en-US" w:eastAsia="zh-CN"/>
        </w:rPr>
        <w:t>Aisa.</w:t>
      </w:r>
    </w:p>
    <w:p>
      <w:pPr>
        <w:pStyle w:val="19"/>
        <w:shd w:val="clear" w:color="auto" w:fill="FFFFFF"/>
        <w:spacing w:before="60" w:beforeAutospacing="0" w:after="0" w:afterAutospacing="0" w:line="300" w:lineRule="atLeast"/>
        <w:jc w:val="righ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814647"/>
    <w:multiLevelType w:val="multilevel"/>
    <w:tmpl w:val="48814647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8D7362B"/>
    <w:rsid w:val="08F5200D"/>
    <w:rsid w:val="08F911CC"/>
    <w:rsid w:val="09016732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6007D67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E47AAB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50A0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0A9D"/>
    <w:rsid w:val="3A04252C"/>
    <w:rsid w:val="3A082ABE"/>
    <w:rsid w:val="3A0E766B"/>
    <w:rsid w:val="3A101C68"/>
    <w:rsid w:val="3A181AC2"/>
    <w:rsid w:val="3A1A155D"/>
    <w:rsid w:val="3A237175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890156"/>
    <w:rsid w:val="5CBF4297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60DF6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C0DC2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20169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CB24A4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99"/>
    <w:rPr>
      <w:b/>
    </w:rPr>
  </w:style>
  <w:style w:type="paragraph" w:customStyle="1" w:styleId="33">
    <w:name w:val="TAC"/>
    <w:basedOn w:val="34"/>
    <w:link w:val="72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题注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basedOn w:val="23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批注框文本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页眉 Char"/>
    <w:link w:val="17"/>
    <w:qFormat/>
    <w:uiPriority w:val="99"/>
    <w:rPr>
      <w:sz w:val="18"/>
      <w:szCs w:val="18"/>
    </w:rPr>
  </w:style>
  <w:style w:type="character" w:customStyle="1" w:styleId="77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页脚 Char"/>
    <w:link w:val="16"/>
    <w:qFormat/>
    <w:uiPriority w:val="99"/>
    <w:rPr>
      <w:sz w:val="18"/>
      <w:szCs w:val="18"/>
    </w:rPr>
  </w:style>
  <w:style w:type="character" w:customStyle="1" w:styleId="81">
    <w:name w:val="批注主题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  <w:style w:type="character" w:styleId="88">
    <w:name w:val="Placeholder Text"/>
    <w:basedOn w:val="23"/>
    <w:semiHidden/>
    <w:qFormat/>
    <w:uiPriority w:val="99"/>
    <w:rPr>
      <w:color w:val="808080"/>
    </w:rPr>
  </w:style>
  <w:style w:type="paragraph" w:customStyle="1" w:styleId="89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- Bullets"/>
    <w:basedOn w:val="1"/>
    <w:next w:val="31"/>
    <w:qFormat/>
    <w:uiPriority w:val="34"/>
    <w:pPr>
      <w:autoSpaceDE/>
      <w:autoSpaceDN/>
      <w:adjustRightInd/>
      <w:snapToGrid/>
      <w:spacing w:after="0"/>
      <w:ind w:left="720"/>
      <w:contextualSpacing/>
      <w:jc w:val="left"/>
    </w:pPr>
    <w:rPr>
      <w:rFonts w:ascii="Arial" w:hAnsi="Arial" w:eastAsia="Times New Roman"/>
      <w:szCs w:val="24"/>
      <w:lang w:val="sv-SE" w:eastAsia="sv-S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39</TotalTime>
  <ScaleCrop>false</ScaleCrop>
  <LinksUpToDate>false</LinksUpToDate>
  <CharactersWithSpaces>13626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2023-02-17T07:48:59Z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